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564305D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1492F">
        <w:rPr>
          <w:rFonts w:ascii="Times New Roman" w:hAnsi="Times New Roman" w:cs="Times New Roman"/>
          <w:color w:val="000000" w:themeColor="text1"/>
          <w:spacing w:val="-1"/>
          <w:sz w:val="24"/>
        </w:rPr>
        <w:t>Spring</w:t>
      </w:r>
      <w:r w:rsidR="00056FF1">
        <w:rPr>
          <w:rFonts w:ascii="Times New Roman" w:hAnsi="Times New Roman" w:cs="Times New Roman"/>
          <w:color w:val="000000" w:themeColor="text1"/>
          <w:spacing w:val="-1"/>
          <w:sz w:val="24"/>
        </w:rPr>
        <w:t xml:space="preserve">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5F9B4806"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Instructor:</w:t>
      </w:r>
      <w:r w:rsidR="00974279">
        <w:rPr>
          <w:rFonts w:ascii="Times New Roman" w:hAnsi="Times New Roman" w:cs="Times New Roman"/>
          <w:b/>
          <w:sz w:val="28"/>
        </w:rPr>
        <w:t xml:space="preserve"> Amanda Ainsworth</w:t>
      </w:r>
    </w:p>
    <w:p w14:paraId="39925C9D" w14:textId="161469DA" w:rsidR="00ED0E6E" w:rsidRPr="002E21E3" w:rsidRDefault="00ED0E6E" w:rsidP="000B4B92">
      <w:pPr>
        <w:pStyle w:val="TableParagraph"/>
        <w:spacing w:before="1"/>
        <w:ind w:left="1908" w:right="353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 xml:space="preserve">Online </w:t>
      </w:r>
      <w:r w:rsidR="000B4B92">
        <w:rPr>
          <w:rFonts w:ascii="Times New Roman" w:hAnsi="Times New Roman" w:cs="Times New Roman"/>
          <w:spacing w:val="-1"/>
          <w:sz w:val="24"/>
        </w:rPr>
        <w:t>or on High School Campus</w:t>
      </w:r>
    </w:p>
    <w:p w14:paraId="3EF7CE86" w14:textId="63BFC9DA"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 xml:space="preserve">I can be reached by phone through the </w:t>
      </w:r>
      <w:r w:rsidR="00974279">
        <w:rPr>
          <w:rFonts w:ascii="Times New Roman" w:hAnsi="Times New Roman" w:cs="Times New Roman"/>
          <w:spacing w:val="-1"/>
          <w:sz w:val="24"/>
        </w:rPr>
        <w:t>Signal Vine</w:t>
      </w:r>
      <w:r w:rsidR="00473908" w:rsidRPr="00473908">
        <w:rPr>
          <w:rFonts w:ascii="Times New Roman" w:hAnsi="Times New Roman" w:cs="Times New Roman"/>
          <w:spacing w:val="-1"/>
          <w:sz w:val="24"/>
        </w:rPr>
        <w:t xml:space="preserve"> app</w:t>
      </w:r>
      <w:r w:rsidR="00473908">
        <w:rPr>
          <w:rFonts w:ascii="Times New Roman" w:hAnsi="Times New Roman" w:cs="Times New Roman"/>
          <w:spacing w:val="-1"/>
          <w:sz w:val="24"/>
        </w:rPr>
        <w:t>.</w:t>
      </w:r>
    </w:p>
    <w:p w14:paraId="43BABC34" w14:textId="7D1EF958"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974279">
        <w:rPr>
          <w:rFonts w:ascii="Times New Roman" w:hAnsi="Times New Roman" w:cs="Times New Roman"/>
          <w:spacing w:val="-1"/>
          <w:sz w:val="24"/>
        </w:rPr>
        <w:t>aainsworth</w:t>
      </w:r>
      <w:r w:rsidR="00473908" w:rsidRPr="00473908">
        <w:rPr>
          <w:rFonts w:ascii="Times New Roman" w:hAnsi="Times New Roman" w:cs="Times New Roman"/>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DD0356D" w:rsidR="005C79AC" w:rsidRPr="002E21E3" w:rsidRDefault="0097427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Harmony HS</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444711A" w:rsidR="005C79AC" w:rsidRPr="004565A6" w:rsidRDefault="0097427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Union Hill HS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AF71C8E" w:rsidR="005C79AC" w:rsidRPr="004565A6" w:rsidRDefault="0097427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Ore City HS</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00154DE"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w:t>
      </w:r>
      <w:r w:rsidR="000B4B92">
        <w:rPr>
          <w:rFonts w:cs="Times New Roman"/>
          <w:color w:val="000000" w:themeColor="text1"/>
        </w:rPr>
        <w:t>One-hour</w:t>
      </w:r>
      <w:r w:rsidR="00E2498E">
        <w:rPr>
          <w:rFonts w:cs="Times New Roman"/>
          <w:color w:val="000000" w:themeColor="text1"/>
        </w:rPr>
        <w:t xml:space="preserve">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r w:rsidR="001F3089">
        <w:rPr>
          <w:rFonts w:ascii="Times New Roman" w:hAnsi="Times New Roman" w:cs="Times New Roman"/>
          <w:b w:val="0"/>
          <w:bCs w:val="0"/>
          <w:spacing w:val="-1"/>
        </w:rPr>
        <w:t>P</w:t>
      </w:r>
      <w:r>
        <w:rPr>
          <w:rFonts w:ascii="Times New Roman" w:hAnsi="Times New Roman" w:cs="Times New Roman"/>
          <w:b w:val="0"/>
          <w:bCs w:val="0"/>
          <w:spacing w:val="-1"/>
        </w:rPr>
        <w:t xml:space="preserve">re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5840B88F" w14:textId="7E21CACC" w:rsidR="00E53C66" w:rsidRPr="00EF604D" w:rsidRDefault="00E53C66" w:rsidP="000B4B92">
      <w:pPr>
        <w:pStyle w:val="Heading1"/>
        <w:ind w:left="0"/>
        <w:rPr>
          <w:rFonts w:ascii="Times New Roman" w:hAnsi="Times New Roman" w:cs="Times New Roman"/>
          <w:b w:val="0"/>
          <w:bCs w:val="0"/>
        </w:rPr>
      </w:pP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04860C42" w14:textId="77777777" w:rsidR="00E322E5" w:rsidRDefault="00777592" w:rsidP="00E322E5">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1104FD47" w14:textId="606457B8" w:rsidR="00A734E6" w:rsidRPr="00E322E5" w:rsidRDefault="002939BA" w:rsidP="00E322E5">
      <w:pPr>
        <w:pStyle w:val="Heading1"/>
        <w:rPr>
          <w:rFonts w:ascii="Times New Roman" w:hAnsi="Times New Roman" w:cs="Times New Roman"/>
          <w:b w:val="0"/>
          <w:bCs w:val="0"/>
          <w:color w:val="000000" w:themeColor="text1"/>
          <w:spacing w:val="-1"/>
        </w:rPr>
      </w:pPr>
      <w:r w:rsidRPr="00777592">
        <w:rPr>
          <w:rFonts w:cs="Times New Roman"/>
          <w:spacing w:val="-1"/>
        </w:rPr>
        <w:lastRenderedPageBreak/>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41B9B27C" w14:textId="4904C1C2" w:rsidR="00473908" w:rsidRDefault="0079655E" w:rsidP="008B6364">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23B78D0F"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w:t>
      </w:r>
      <w:r w:rsidR="001F2286">
        <w:rPr>
          <w:rFonts w:ascii="Times New Roman" w:hAnsi="Times New Roman" w:cs="Times New Roman"/>
          <w:b w:val="0"/>
          <w:bCs w:val="0"/>
          <w:spacing w:val="-1"/>
        </w:rPr>
        <w:t>five</w:t>
      </w:r>
      <w:r w:rsidRPr="007F1E27">
        <w:rPr>
          <w:rFonts w:ascii="Times New Roman" w:hAnsi="Times New Roman" w:cs="Times New Roman"/>
          <w:b w:val="0"/>
          <w:bCs w:val="0"/>
          <w:spacing w:val="-1"/>
        </w:rPr>
        <w:t xml:space="preserv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course credit is allowed after the </w:t>
      </w:r>
      <w:r w:rsidR="001F2286">
        <w:rPr>
          <w:rFonts w:ascii="Times New Roman" w:hAnsi="Times New Roman" w:cs="Times New Roman"/>
          <w:b w:val="0"/>
          <w:bCs w:val="0"/>
          <w:spacing w:val="-1"/>
        </w:rPr>
        <w:t>five</w:t>
      </w:r>
      <w:r w:rsidRPr="0000223E">
        <w:rPr>
          <w:rFonts w:ascii="Times New Roman" w:hAnsi="Times New Roman" w:cs="Times New Roman"/>
          <w:b w:val="0"/>
          <w:bCs w:val="0"/>
          <w:spacing w:val="-1"/>
        </w:rPr>
        <w:t>-day period.</w:t>
      </w:r>
    </w:p>
    <w:p w14:paraId="6EBE7250" w14:textId="77777777" w:rsidR="00BC50C1" w:rsidRDefault="00BC50C1" w:rsidP="00BC50C1">
      <w:pPr>
        <w:pStyle w:val="BodyText"/>
        <w:spacing w:before="1"/>
        <w:ind w:left="0"/>
        <w:rPr>
          <w:b/>
          <w:bCs/>
          <w:color w:val="000000"/>
        </w:rPr>
      </w:pPr>
    </w:p>
    <w:p w14:paraId="7143D753" w14:textId="77777777" w:rsidR="00203B9F" w:rsidRDefault="00203B9F" w:rsidP="00203B9F">
      <w:pPr>
        <w:pStyle w:val="BodyText"/>
        <w:spacing w:before="1"/>
      </w:pPr>
      <w:r>
        <w:rPr>
          <w:color w:val="000000"/>
        </w:rPr>
        <w:t xml:space="preserve">Please note that when submitting discussion posts, </w:t>
      </w:r>
      <w:r>
        <w:t xml:space="preserve">Blackboard only allows for one due date per assignment. The BB due date is set for the </w:t>
      </w:r>
      <w:r>
        <w:rPr>
          <w:b/>
          <w:bCs/>
        </w:rPr>
        <w:t>FIRST</w:t>
      </w:r>
      <w:r>
        <w:t xml:space="preserve"> date when the initial post is due. The second due date for the responses is posted on the assignment calendar, in the BB calendar, and in the assignment instructions. Failure to submit the initial post on time will result in half credit for the assignment or a deduction of 30 points.</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An extension for assignments is strictly given at the instructor’s discretion. In order to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not planning ahead,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w:t>
      </w:r>
      <w:r w:rsidRPr="008A29E8">
        <w:rPr>
          <w:rFonts w:ascii="Times New Roman" w:eastAsia="Times New Roman" w:hAnsi="Times New Roman" w:cs="Times New Roman"/>
          <w:color w:val="000000"/>
          <w:sz w:val="24"/>
          <w:szCs w:val="24"/>
        </w:rPr>
        <w:lastRenderedPageBreak/>
        <w:t>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BE5F603" w14:textId="77777777" w:rsidR="004617AE" w:rsidRDefault="004617AE" w:rsidP="00EA7A41">
      <w:pPr>
        <w:pStyle w:val="BodyText"/>
        <w:ind w:right="719"/>
        <w:rPr>
          <w:rFonts w:cs="Times New Roman"/>
          <w:spacing w:val="-1"/>
        </w:rPr>
      </w:pPr>
    </w:p>
    <w:p w14:paraId="722B7216" w14:textId="77777777" w:rsidR="004617AE" w:rsidRPr="006E7E50" w:rsidRDefault="004617AE" w:rsidP="004617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2E17D98D" w14:textId="53AB3058" w:rsidR="004617AE" w:rsidRDefault="004617AE" w:rsidP="004617AE">
      <w:pPr>
        <w:pStyle w:val="paragraph"/>
        <w:spacing w:before="0" w:beforeAutospacing="0" w:after="0" w:afterAutospacing="0"/>
        <w:ind w:left="90"/>
        <w:textAlignment w:val="baseline"/>
        <w:rPr>
          <w:rStyle w:val="eop"/>
          <w:b/>
        </w:rPr>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696A8D23" w14:textId="37B56A81" w:rsidR="001F2286" w:rsidRDefault="001F2286" w:rsidP="004617AE">
      <w:pPr>
        <w:pStyle w:val="paragraph"/>
        <w:spacing w:before="0" w:beforeAutospacing="0" w:after="0" w:afterAutospacing="0"/>
        <w:ind w:left="90"/>
        <w:textAlignment w:val="baseline"/>
      </w:pPr>
    </w:p>
    <w:p w14:paraId="45C3BB31" w14:textId="4AD81137" w:rsidR="001F2286" w:rsidRPr="002E21E3" w:rsidRDefault="001F2286" w:rsidP="004617AE">
      <w:pPr>
        <w:pStyle w:val="paragraph"/>
        <w:spacing w:before="0" w:beforeAutospacing="0" w:after="0" w:afterAutospacing="0"/>
        <w:ind w:left="90"/>
        <w:textAlignment w:val="baseline"/>
      </w:pPr>
      <w:r>
        <w:t xml:space="preserve">Any work submitted that has more than 20% AI detected will receive half of the percentage off of their grade (ex. 30% will result in a </w:t>
      </w:r>
      <w:r w:rsidR="0092380D">
        <w:t>15-point</w:t>
      </w:r>
      <w:r>
        <w:t xml:space="preserve"> deduction to the assignment.) Anything over 40% AI detected will result in a ZERO for the assignment. </w:t>
      </w:r>
    </w:p>
    <w:p w14:paraId="10EEA990" w14:textId="77777777" w:rsidR="001F7559" w:rsidRPr="002E21E3" w:rsidRDefault="001F7559">
      <w:pPr>
        <w:spacing w:before="5"/>
        <w:rPr>
          <w:rFonts w:ascii="Times New Roman" w:eastAsia="Times New Roman" w:hAnsi="Times New Roman" w:cs="Times New Roman"/>
          <w:sz w:val="20"/>
          <w:szCs w:val="20"/>
        </w:rPr>
      </w:pPr>
      <w:bookmarkStart w:id="0" w:name="_GoBack"/>
      <w:bookmarkEnd w:id="0"/>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5ED1A92A" w14:textId="4A801844" w:rsidR="00444DD4" w:rsidRPr="001F2286" w:rsidRDefault="00444DD4" w:rsidP="001F2286">
      <w:pPr>
        <w:rPr>
          <w:rFonts w:ascii="Times New Roman" w:eastAsia="Times New Roman" w:hAnsi="Times New Roman" w:cs="Times New Roman"/>
          <w:b/>
          <w:spacing w:val="-1"/>
          <w:sz w:val="24"/>
          <w:szCs w:val="24"/>
        </w:rPr>
      </w:pPr>
    </w:p>
    <w:sectPr w:rsidR="00444DD4" w:rsidRPr="001F2286" w:rsidSect="00EE66AC">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abstractNumId w:val="4"/>
  </w:num>
  <w:num w:numId="2">
    <w:abstractNumId w:val="12"/>
  </w:num>
  <w:num w:numId="3">
    <w:abstractNumId w:val="8"/>
  </w:num>
  <w:num w:numId="4">
    <w:abstractNumId w:val="0"/>
  </w:num>
  <w:num w:numId="5">
    <w:abstractNumId w:val="9"/>
  </w:num>
  <w:num w:numId="6">
    <w:abstractNumId w:val="11"/>
  </w:num>
  <w:num w:numId="7">
    <w:abstractNumId w:val="10"/>
  </w:num>
  <w:num w:numId="8">
    <w:abstractNumId w:val="2"/>
  </w:num>
  <w:num w:numId="9">
    <w:abstractNumId w:val="1"/>
  </w:num>
  <w:num w:numId="10">
    <w:abstractNumId w:val="5"/>
  </w:num>
  <w:num w:numId="11">
    <w:abstractNumId w:val="3"/>
  </w:num>
  <w:num w:numId="12">
    <w:abstractNumId w:val="7"/>
  </w:num>
  <w:num w:numId="13">
    <w:abstractNumId w:val="13"/>
  </w:num>
  <w:num w:numId="14">
    <w:abstractNumId w:val="3"/>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56FF1"/>
    <w:rsid w:val="00084BED"/>
    <w:rsid w:val="000A6B74"/>
    <w:rsid w:val="000B4B92"/>
    <w:rsid w:val="001010FF"/>
    <w:rsid w:val="001260B5"/>
    <w:rsid w:val="00142A82"/>
    <w:rsid w:val="001677A8"/>
    <w:rsid w:val="001851BC"/>
    <w:rsid w:val="00194115"/>
    <w:rsid w:val="001955ED"/>
    <w:rsid w:val="001A3E45"/>
    <w:rsid w:val="001C29CB"/>
    <w:rsid w:val="001F2286"/>
    <w:rsid w:val="001F3089"/>
    <w:rsid w:val="001F7559"/>
    <w:rsid w:val="002023CF"/>
    <w:rsid w:val="00203B9F"/>
    <w:rsid w:val="00230FA1"/>
    <w:rsid w:val="002449E7"/>
    <w:rsid w:val="00265061"/>
    <w:rsid w:val="002939BA"/>
    <w:rsid w:val="002C389A"/>
    <w:rsid w:val="002E21E3"/>
    <w:rsid w:val="00330D34"/>
    <w:rsid w:val="003459C9"/>
    <w:rsid w:val="00354E26"/>
    <w:rsid w:val="0037798A"/>
    <w:rsid w:val="00386A44"/>
    <w:rsid w:val="00395354"/>
    <w:rsid w:val="003B73FD"/>
    <w:rsid w:val="003C2948"/>
    <w:rsid w:val="00432A6B"/>
    <w:rsid w:val="00435483"/>
    <w:rsid w:val="00444DD4"/>
    <w:rsid w:val="004565A6"/>
    <w:rsid w:val="00461117"/>
    <w:rsid w:val="004617AE"/>
    <w:rsid w:val="00473908"/>
    <w:rsid w:val="00490FBD"/>
    <w:rsid w:val="004922D3"/>
    <w:rsid w:val="0051129F"/>
    <w:rsid w:val="00525219"/>
    <w:rsid w:val="00594112"/>
    <w:rsid w:val="005C594A"/>
    <w:rsid w:val="005C79AC"/>
    <w:rsid w:val="00645088"/>
    <w:rsid w:val="006456B9"/>
    <w:rsid w:val="0066353F"/>
    <w:rsid w:val="00663DF2"/>
    <w:rsid w:val="00690DDA"/>
    <w:rsid w:val="006B38C0"/>
    <w:rsid w:val="006B6C48"/>
    <w:rsid w:val="006E56B3"/>
    <w:rsid w:val="00703DAD"/>
    <w:rsid w:val="00731E8B"/>
    <w:rsid w:val="00753C4D"/>
    <w:rsid w:val="00777592"/>
    <w:rsid w:val="0079655E"/>
    <w:rsid w:val="007B2819"/>
    <w:rsid w:val="007B4BA7"/>
    <w:rsid w:val="007C22BE"/>
    <w:rsid w:val="007C427F"/>
    <w:rsid w:val="007F1E27"/>
    <w:rsid w:val="00806223"/>
    <w:rsid w:val="008070A9"/>
    <w:rsid w:val="0081492F"/>
    <w:rsid w:val="008323C5"/>
    <w:rsid w:val="0087480F"/>
    <w:rsid w:val="00877C5D"/>
    <w:rsid w:val="008A248D"/>
    <w:rsid w:val="008A29E8"/>
    <w:rsid w:val="008A6630"/>
    <w:rsid w:val="008B6364"/>
    <w:rsid w:val="008C1D2C"/>
    <w:rsid w:val="0092380D"/>
    <w:rsid w:val="00944A31"/>
    <w:rsid w:val="00945D60"/>
    <w:rsid w:val="0097066D"/>
    <w:rsid w:val="00974279"/>
    <w:rsid w:val="00993CEC"/>
    <w:rsid w:val="00A00E45"/>
    <w:rsid w:val="00A04244"/>
    <w:rsid w:val="00A11F00"/>
    <w:rsid w:val="00A42994"/>
    <w:rsid w:val="00A734E6"/>
    <w:rsid w:val="00A855ED"/>
    <w:rsid w:val="00A90920"/>
    <w:rsid w:val="00AB5473"/>
    <w:rsid w:val="00AC0D3A"/>
    <w:rsid w:val="00AD732D"/>
    <w:rsid w:val="00AE268D"/>
    <w:rsid w:val="00AF6BAB"/>
    <w:rsid w:val="00B11027"/>
    <w:rsid w:val="00B11825"/>
    <w:rsid w:val="00B20528"/>
    <w:rsid w:val="00B23659"/>
    <w:rsid w:val="00B35252"/>
    <w:rsid w:val="00B41117"/>
    <w:rsid w:val="00B45FAA"/>
    <w:rsid w:val="00B47FF3"/>
    <w:rsid w:val="00B6332D"/>
    <w:rsid w:val="00BA08B7"/>
    <w:rsid w:val="00BA3C60"/>
    <w:rsid w:val="00BC50C1"/>
    <w:rsid w:val="00BE6AA5"/>
    <w:rsid w:val="00C076C4"/>
    <w:rsid w:val="00C114AA"/>
    <w:rsid w:val="00C424C4"/>
    <w:rsid w:val="00C6042A"/>
    <w:rsid w:val="00C90C2D"/>
    <w:rsid w:val="00D0383C"/>
    <w:rsid w:val="00D10A4F"/>
    <w:rsid w:val="00D32170"/>
    <w:rsid w:val="00D47062"/>
    <w:rsid w:val="00D71B18"/>
    <w:rsid w:val="00D85118"/>
    <w:rsid w:val="00D91054"/>
    <w:rsid w:val="00D93564"/>
    <w:rsid w:val="00DC0DCD"/>
    <w:rsid w:val="00DD030A"/>
    <w:rsid w:val="00DF21A9"/>
    <w:rsid w:val="00E2498E"/>
    <w:rsid w:val="00E26142"/>
    <w:rsid w:val="00E322E5"/>
    <w:rsid w:val="00E53C66"/>
    <w:rsid w:val="00E63696"/>
    <w:rsid w:val="00E65C61"/>
    <w:rsid w:val="00EA7A41"/>
    <w:rsid w:val="00ED01BA"/>
    <w:rsid w:val="00ED0E6E"/>
    <w:rsid w:val="00EE66AC"/>
    <w:rsid w:val="00EF04B0"/>
    <w:rsid w:val="00EF604D"/>
    <w:rsid w:val="00F36182"/>
    <w:rsid w:val="00F67223"/>
    <w:rsid w:val="00F97FE4"/>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4617AE"/>
  </w:style>
  <w:style w:type="paragraph" w:customStyle="1" w:styleId="paragraph">
    <w:name w:val="paragraph"/>
    <w:basedOn w:val="Normal"/>
    <w:rsid w:val="004617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4617AE"/>
  </w:style>
  <w:style w:type="character" w:customStyle="1" w:styleId="BodyTextChar">
    <w:name w:val="Body Text Char"/>
    <w:basedOn w:val="DefaultParagraphFont"/>
    <w:link w:val="BodyText"/>
    <w:uiPriority w:val="1"/>
    <w:rsid w:val="00203B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 w:id="2041320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2103</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Ainsworth</cp:lastModifiedBy>
  <cp:revision>13</cp:revision>
  <cp:lastPrinted>2019-11-05T16:13:00Z</cp:lastPrinted>
  <dcterms:created xsi:type="dcterms:W3CDTF">2024-08-06T14:00:00Z</dcterms:created>
  <dcterms:modified xsi:type="dcterms:W3CDTF">2025-01-08T15:59:00Z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