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 w:lineRule="auto"/>
        <w:ind w:left="1908" w:right="-250" w:firstLine="0"/>
        <w:jc w:val="left"/>
        <w:rPr>
          <w:rFonts w:ascii="Times New Roman" w:cs="Times New Roman" w:eastAsia="Times New Roman" w:hAnsi="Times New Roman"/>
          <w:b w:val="1"/>
          <w:i w:val="0"/>
          <w:smallCaps w:val="0"/>
          <w:strike w:val="0"/>
          <w:color w:val="0f243e"/>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f243e"/>
          <w:sz w:val="22"/>
          <w:szCs w:val="22"/>
          <w:u w:val="none"/>
          <w:shd w:fill="auto" w:val="clear"/>
          <w:vertAlign w:val="baseline"/>
        </w:rPr>
        <w:drawing>
          <wp:anchor allowOverlap="1" behindDoc="1" distB="0" distT="0" distL="0" distR="0" hidden="0" layoutInCell="1" locked="0" relativeHeight="0" simplePos="0">
            <wp:simplePos x="0" y="0"/>
            <wp:positionH relativeFrom="page">
              <wp:posOffset>555625</wp:posOffset>
            </wp:positionH>
            <wp:positionV relativeFrom="page">
              <wp:posOffset>695325</wp:posOffset>
            </wp:positionV>
            <wp:extent cx="1048385" cy="749935"/>
            <wp:effectExtent b="0" l="0" r="0" t="0"/>
            <wp:wrapNone/>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048385" cy="749935"/>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f243e"/>
          <w:sz w:val="32"/>
          <w:szCs w:val="32"/>
          <w:u w:val="none"/>
          <w:shd w:fill="auto" w:val="clear"/>
          <w:vertAlign w:val="baseline"/>
          <w:rtl w:val="0"/>
        </w:rPr>
        <w:t xml:space="preserve">HIST 238</w:t>
      </w:r>
      <w:r w:rsidDel="00000000" w:rsidR="00000000" w:rsidRPr="00000000">
        <w:rPr>
          <w:rFonts w:ascii="Times New Roman" w:cs="Times New Roman" w:eastAsia="Times New Roman" w:hAnsi="Times New Roman"/>
          <w:b w:val="1"/>
          <w:color w:val="0f243e"/>
          <w:sz w:val="32"/>
          <w:szCs w:val="32"/>
          <w:rtl w:val="0"/>
        </w:rPr>
        <w:t xml:space="preserve">2</w:t>
      </w:r>
      <w:r w:rsidDel="00000000" w:rsidR="00000000" w:rsidRPr="00000000">
        <w:rPr>
          <w:rFonts w:ascii="Times New Roman" w:cs="Times New Roman" w:eastAsia="Times New Roman" w:hAnsi="Times New Roman"/>
          <w:b w:val="1"/>
          <w:i w:val="0"/>
          <w:smallCaps w:val="0"/>
          <w:strike w:val="0"/>
          <w:color w:val="0f243e"/>
          <w:sz w:val="32"/>
          <w:szCs w:val="32"/>
          <w:u w:val="none"/>
          <w:shd w:fill="auto" w:val="clear"/>
          <w:vertAlign w:val="baseline"/>
          <w:rtl w:val="0"/>
        </w:rPr>
        <w:t xml:space="preserve"> African-American History II</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Syllabus Spring 202</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second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8-weeks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Pr>
        <w:drawing>
          <wp:inline distB="0" distT="0" distL="0" distR="0">
            <wp:extent cx="4846320" cy="3810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84632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1"/>
          <w:i w:val="1"/>
          <w:smallCaps w:val="0"/>
          <w:strike w:val="0"/>
          <w:color w:val="0f243e"/>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Dr. Melissa Fulgham</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8" w:right="344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NTCC campus, Humanities 128E</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8" w:right="11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(903) 434-8253</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1195" w:right="0" w:firstLine="72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mfulgham@ntcc.edu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emails responded to within 24 hours</w:t>
      </w:r>
      <w:r w:rsidDel="00000000" w:rsidR="00000000" w:rsidRPr="00000000">
        <w:rPr>
          <w:rtl w:val="0"/>
        </w:rPr>
      </w:r>
    </w:p>
    <w:tbl>
      <w:tblPr>
        <w:tblStyle w:val="Table1"/>
        <w:tblW w:w="999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510"/>
        <w:gridCol w:w="1460"/>
        <w:gridCol w:w="1240"/>
        <w:gridCol w:w="1370"/>
        <w:tblGridChange w:id="0">
          <w:tblGrid>
            <w:gridCol w:w="1350"/>
            <w:gridCol w:w="1620"/>
            <w:gridCol w:w="1440"/>
            <w:gridCol w:w="1510"/>
            <w:gridCol w:w="1460"/>
            <w:gridCol w:w="1240"/>
            <w:gridCol w:w="137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B">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Office </w:t>
            </w:r>
          </w:p>
          <w:p w:rsidR="00000000" w:rsidDel="00000000" w:rsidP="00000000" w:rsidRDefault="00000000" w:rsidRPr="00000000" w14:paraId="0000000C">
            <w:pPr>
              <w:spacing w:before="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D">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E">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0">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2">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Online</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4">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9:30 – 11:00</w:t>
            </w:r>
          </w:p>
          <w:p w:rsidR="00000000" w:rsidDel="00000000" w:rsidP="00000000" w:rsidRDefault="00000000" w:rsidRPr="00000000" w14:paraId="00000015">
            <w:pPr>
              <w:spacing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1:00 – 3:30</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6">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9:30-12:00</w:t>
            </w:r>
          </w:p>
          <w:p w:rsidR="00000000" w:rsidDel="00000000" w:rsidP="00000000" w:rsidRDefault="00000000" w:rsidRPr="00000000" w14:paraId="00000017">
            <w:pPr>
              <w:spacing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1:00-3:30</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9:30 – 11:00</w:t>
            </w:r>
          </w:p>
          <w:p w:rsidR="00000000" w:rsidDel="00000000" w:rsidP="00000000" w:rsidRDefault="00000000" w:rsidRPr="00000000" w14:paraId="00000019">
            <w:pPr>
              <w:jc w:val="cente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sz w:val="19"/>
                <w:szCs w:val="19"/>
                <w:rtl w:val="0"/>
              </w:rPr>
              <w:t xml:space="preserve">1:00 – 3:30</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A">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9:30-12:00</w:t>
            </w:r>
          </w:p>
          <w:p w:rsidR="00000000" w:rsidDel="00000000" w:rsidP="00000000" w:rsidRDefault="00000000" w:rsidRPr="00000000" w14:paraId="0000001B">
            <w:pPr>
              <w:spacing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1:00-3:30</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C">
            <w:pPr>
              <w:spacing w:before="12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By appointment</w:t>
            </w:r>
          </w:p>
        </w:tc>
        <w:tc>
          <w:tcPr>
            <w:tcBorders>
              <w:top w:color="000000" w:space="0" w:sz="6" w:val="single"/>
              <w:left w:color="000000" w:space="0" w:sz="6" w:val="single"/>
            </w:tcBorders>
            <w:shd w:fill="ffffff" w:val="clear"/>
          </w:tcPr>
          <w:p w:rsidR="00000000" w:rsidDel="00000000" w:rsidP="00000000" w:rsidRDefault="00000000" w:rsidRPr="00000000" w14:paraId="0000001D">
            <w:pPr>
              <w:spacing w:before="120" w:line="228" w:lineRule="auto"/>
              <w:ind w:left="158" w:firstLine="0"/>
              <w:jc w:val="center"/>
              <w:rPr>
                <w:rFonts w:ascii="Times New Roman" w:cs="Times New Roman" w:eastAsia="Times New Roman" w:hAnsi="Times New Roman"/>
                <w:color w:val="ff0000"/>
                <w:sz w:val="19"/>
                <w:szCs w:val="19"/>
              </w:rPr>
            </w:pPr>
            <w:r w:rsidDel="00000000" w:rsidR="00000000" w:rsidRPr="00000000">
              <w:rPr>
                <w:rtl w:val="0"/>
              </w:rPr>
            </w:r>
          </w:p>
        </w:tc>
      </w:tr>
    </w:tbl>
    <w:p w:rsidR="00000000" w:rsidDel="00000000" w:rsidP="00000000" w:rsidRDefault="00000000" w:rsidRPr="00000000" w14:paraId="0000001E">
      <w:pPr>
        <w:spacing w:before="69" w:lineRule="auto"/>
        <w:ind w:left="100" w:right="20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The information contained in this syllabus is subject to change without notice. Students are expected to be aware of any additional course policies presented by the instructor during the course.</w:t>
      </w:r>
      <w:r w:rsidDel="00000000" w:rsidR="00000000" w:rsidRPr="00000000">
        <w:rPr>
          <w:rtl w:val="0"/>
        </w:rPr>
      </w:r>
    </w:p>
    <w:p w:rsidR="00000000" w:rsidDel="00000000" w:rsidP="00000000" w:rsidRDefault="00000000" w:rsidRPr="00000000" w14:paraId="0000001F">
      <w:pPr>
        <w:ind w:right="396"/>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Course Description: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survey of the social, political, economic, cultural, and intellectual history of people of African descent in the formation and development of the United States to the Civil War/Reconstruction period. African American History I includes the study of African origins and legacy, trans-Atlantic slave trade, and the experiences of African Americans during Colonial, Revolutionary, Early National, Antebellum, and the Civil War/Reconstruction Eras. This course will enable students to understand African American history as an integral part of U.S. history. (May be applied to the U.S. History requirement.)</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f243e"/>
          <w:sz w:val="22"/>
          <w:szCs w:val="22"/>
          <w:u w:val="none"/>
          <w:shd w:fill="auto" w:val="clear"/>
          <w:vertAlign w:val="baseline"/>
          <w:rtl w:val="0"/>
        </w:rPr>
        <w:t xml:space="preserve">none</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spacing w:line="281" w:lineRule="auto"/>
        <w:ind w:firstLine="10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 Learning Outcomes: </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Create an argument through the use of historical evidence. (SLO1)</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Analyze and interpret primary and secondary sources. (SLO2)</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Analyze the effects of historical, social, political, economic, cultural, and global forces on this period of African American history. (SLO3)</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1"/>
        <w:ind w:firstLine="10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Evaluation/Grading Policy: </w:t>
      </w:r>
    </w:p>
    <w:p w:rsidR="00000000" w:rsidDel="00000000" w:rsidP="00000000" w:rsidRDefault="00000000" w:rsidRPr="00000000" w14:paraId="0000002A">
      <w:pPr>
        <w:pStyle w:val="Heading1"/>
        <w:ind w:firstLine="10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pStyle w:val="Heading1"/>
        <w:spacing w:line="259" w:lineRule="auto"/>
        <w:ind w:firstLine="4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0"/>
          <w:sz w:val="22"/>
          <w:szCs w:val="22"/>
          <w:rtl w:val="0"/>
        </w:rPr>
        <w:t xml:space="preserve">40%</w:t>
        <w:tab/>
        <w:t xml:space="preserve">In-Class Activities, Participation, Attendance</w:t>
        <w:tab/>
        <w:tab/>
      </w:r>
      <w:r w:rsidDel="00000000" w:rsidR="00000000" w:rsidRPr="00000000">
        <w:rPr>
          <w:rtl w:val="0"/>
        </w:rPr>
      </w:r>
    </w:p>
    <w:p w:rsidR="00000000" w:rsidDel="00000000" w:rsidP="00000000" w:rsidRDefault="00000000" w:rsidRPr="00000000" w14:paraId="0000002C">
      <w:pPr>
        <w:pStyle w:val="Heading1"/>
        <w:ind w:firstLine="4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0"/>
          <w:sz w:val="22"/>
          <w:szCs w:val="22"/>
          <w:rtl w:val="0"/>
        </w:rPr>
        <w:t xml:space="preserve">40%</w:t>
        <w:tab/>
        <w:t xml:space="preserve">Online Activities, Discussion Boards</w:t>
      </w:r>
      <w:r w:rsidDel="00000000" w:rsidR="00000000" w:rsidRPr="00000000">
        <w:rPr>
          <w:rtl w:val="0"/>
        </w:rPr>
      </w:r>
    </w:p>
    <w:p w:rsidR="00000000" w:rsidDel="00000000" w:rsidP="00000000" w:rsidRDefault="00000000" w:rsidRPr="00000000" w14:paraId="0000002D">
      <w:pPr>
        <w:pStyle w:val="Heading1"/>
        <w:ind w:firstLine="44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10%</w:t>
        <w:tab/>
        <w:t xml:space="preserve">Oral History Project</w:t>
        <w:tab/>
        <w:tab/>
      </w:r>
    </w:p>
    <w:p w:rsidR="00000000" w:rsidDel="00000000" w:rsidP="00000000" w:rsidRDefault="00000000" w:rsidRPr="00000000" w14:paraId="0000002E">
      <w:pPr>
        <w:pStyle w:val="Heading1"/>
        <w:ind w:firstLine="4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0"/>
          <w:sz w:val="22"/>
          <w:szCs w:val="22"/>
          <w:rtl w:val="0"/>
        </w:rPr>
        <w:t xml:space="preserve">10%</w:t>
        <w:tab/>
        <w:t xml:space="preserve">Exams</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443" w:hanging="9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Numerical grading scale: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100%-90; B: 89-80; C: 79-70; D: 69-60; F: 59 or below</w:t>
      </w:r>
    </w:p>
    <w:p w:rsidR="00000000" w:rsidDel="00000000" w:rsidP="00000000" w:rsidRDefault="00000000" w:rsidRPr="00000000" w14:paraId="00000031">
      <w:pPr>
        <w:pStyle w:val="Heading1"/>
        <w:ind w:firstLine="10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0" w:right="20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Required Instructional Materials: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Franklin, Higginbotham.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From Slavery to Freedom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 eBook included</w:t>
      </w:r>
    </w:p>
    <w:p w:rsidR="00000000" w:rsidDel="00000000" w:rsidP="00000000" w:rsidRDefault="00000000" w:rsidRPr="00000000" w14:paraId="00000033">
      <w:pPr>
        <w:pStyle w:val="Heading1"/>
        <w:ind w:firstLine="10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4">
      <w:pPr>
        <w:pStyle w:val="Heading1"/>
        <w:spacing w:line="259" w:lineRule="auto"/>
        <w:ind w:right="290" w:firstLine="10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Publisher:</w:t>
        <w:tab/>
      </w:r>
      <w:r w:rsidDel="00000000" w:rsidR="00000000" w:rsidRPr="00000000">
        <w:rPr>
          <w:rFonts w:ascii="Times New Roman" w:cs="Times New Roman" w:eastAsia="Times New Roman" w:hAnsi="Times New Roman"/>
          <w:b w:val="0"/>
          <w:sz w:val="22"/>
          <w:szCs w:val="22"/>
          <w:rtl w:val="0"/>
        </w:rPr>
        <w:t xml:space="preserve">McGraw-Hill</w:t>
        <w:tab/>
      </w:r>
      <w:r w:rsidDel="00000000" w:rsidR="00000000" w:rsidRPr="00000000">
        <w:rPr>
          <w:rFonts w:ascii="Times New Roman" w:cs="Times New Roman" w:eastAsia="Times New Roman" w:hAnsi="Times New Roman"/>
          <w:sz w:val="22"/>
          <w:szCs w:val="22"/>
          <w:rtl w:val="0"/>
        </w:rPr>
        <w:tab/>
        <w:tab/>
        <w:tab/>
        <w:t xml:space="preserve">ISBN Number:  </w:t>
      </w:r>
      <w:r w:rsidDel="00000000" w:rsidR="00000000" w:rsidRPr="00000000">
        <w:rPr>
          <w:rFonts w:ascii="Times New Roman" w:cs="Times New Roman" w:eastAsia="Times New Roman" w:hAnsi="Times New Roman"/>
          <w:b w:val="0"/>
          <w:sz w:val="22"/>
          <w:szCs w:val="22"/>
          <w:rtl w:val="0"/>
        </w:rPr>
        <w:t xml:space="preserve">978-0-07-351334-8</w:t>
      </w:r>
      <w:r w:rsidDel="00000000" w:rsidR="00000000" w:rsidRPr="00000000">
        <w:rPr>
          <w:rtl w:val="0"/>
        </w:rPr>
      </w:r>
    </w:p>
    <w:p w:rsidR="00000000" w:rsidDel="00000000" w:rsidP="00000000" w:rsidRDefault="00000000" w:rsidRPr="00000000" w14:paraId="00000035">
      <w:pPr>
        <w:spacing w:before="1"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pStyle w:val="Heading1"/>
        <w:ind w:firstLine="100"/>
        <w:rPr>
          <w:rFonts w:ascii="Times New Roman" w:cs="Times New Roman" w:eastAsia="Times New Roman" w:hAnsi="Times New Roman"/>
          <w:b w:val="0"/>
          <w:color w:val="ff0000"/>
          <w:sz w:val="22"/>
          <w:szCs w:val="22"/>
        </w:rPr>
      </w:pPr>
      <w:r w:rsidDel="00000000" w:rsidR="00000000" w:rsidRPr="00000000">
        <w:rPr>
          <w:rFonts w:ascii="Times New Roman" w:cs="Times New Roman" w:eastAsia="Times New Roman" w:hAnsi="Times New Roman"/>
          <w:sz w:val="22"/>
          <w:szCs w:val="22"/>
          <w:rtl w:val="0"/>
        </w:rPr>
        <w:t xml:space="preserve">Optional Instructional Materials: </w:t>
      </w:r>
      <w:r w:rsidDel="00000000" w:rsidR="00000000" w:rsidRPr="00000000">
        <w:rPr>
          <w:rFonts w:ascii="Times New Roman" w:cs="Times New Roman" w:eastAsia="Times New Roman" w:hAnsi="Times New Roman"/>
          <w:b w:val="0"/>
          <w:color w:val="0f243e"/>
          <w:sz w:val="22"/>
          <w:szCs w:val="22"/>
          <w:rtl w:val="0"/>
        </w:rPr>
        <w:t xml:space="preserve">none</w:t>
      </w:r>
      <w:r w:rsidDel="00000000" w:rsidR="00000000" w:rsidRPr="00000000">
        <w:rPr>
          <w:rtl w:val="0"/>
        </w:rPr>
      </w:r>
    </w:p>
    <w:p w:rsidR="00000000" w:rsidDel="00000000" w:rsidP="00000000" w:rsidRDefault="00000000" w:rsidRPr="00000000" w14:paraId="00000037">
      <w:pPr>
        <w:pStyle w:val="Heading1"/>
        <w:ind w:firstLine="10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8">
      <w:pPr>
        <w:pStyle w:val="Heading1"/>
        <w:ind w:firstLine="10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2"/>
          <w:szCs w:val="22"/>
          <w:rtl w:val="0"/>
        </w:rPr>
        <w:t xml:space="preserve">Minimum Technology Requirements: </w:t>
      </w:r>
      <w:r w:rsidDel="00000000" w:rsidR="00000000" w:rsidRPr="00000000">
        <w:rPr>
          <w:rFonts w:ascii="Times New Roman" w:cs="Times New Roman" w:eastAsia="Times New Roman" w:hAnsi="Times New Roman"/>
          <w:b w:val="0"/>
          <w:sz w:val="22"/>
          <w:szCs w:val="22"/>
          <w:u w:val="single"/>
          <w:rtl w:val="0"/>
        </w:rPr>
        <w:t xml:space="preserve">You must have access to a computer to take this course</w:t>
      </w:r>
      <w:r w:rsidDel="00000000" w:rsidR="00000000" w:rsidRPr="00000000">
        <w:rPr>
          <w:rFonts w:ascii="Times New Roman" w:cs="Times New Roman" w:eastAsia="Times New Roman" w:hAnsi="Times New Roman"/>
          <w:b w:val="0"/>
          <w:sz w:val="22"/>
          <w:szCs w:val="22"/>
          <w:rtl w:val="0"/>
        </w:rPr>
        <w:t xml:space="preserv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hybrid course.</w:t>
      </w:r>
    </w:p>
    <w:p w:rsidR="00000000" w:rsidDel="00000000" w:rsidP="00000000" w:rsidRDefault="00000000" w:rsidRPr="00000000" w14:paraId="00000039">
      <w:pPr>
        <w:pStyle w:val="Heading1"/>
        <w:ind w:firstLine="100"/>
        <w:rPr>
          <w:rFonts w:ascii="Times New Roman" w:cs="Times New Roman" w:eastAsia="Times New Roman" w:hAnsi="Times New Roman"/>
          <w:b w:val="0"/>
          <w:color w:val="ff0000"/>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3A">
      <w:pPr>
        <w:spacing w:before="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Required Computer Literacy Skills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Ability to use Blackboard as well as Microsoft Office. Microsoft Office programs, including Word, are provided free to all enrolled students.</w:t>
      </w:r>
      <w:r w:rsidDel="00000000" w:rsidR="00000000" w:rsidRPr="00000000">
        <w:rPr>
          <w:rtl w:val="0"/>
        </w:rPr>
      </w:r>
    </w:p>
    <w:p w:rsidR="00000000" w:rsidDel="00000000" w:rsidP="00000000" w:rsidRDefault="00000000" w:rsidRPr="00000000" w14:paraId="0000003C">
      <w:pPr>
        <w:pStyle w:val="Heading1"/>
        <w:ind w:firstLine="10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3D">
      <w:pPr>
        <w:pStyle w:val="Heading1"/>
        <w:spacing w:line="281" w:lineRule="auto"/>
        <w:ind w:firstLine="100"/>
        <w:rPr>
          <w:rFonts w:ascii="Times New Roman" w:cs="Times New Roman" w:eastAsia="Times New Roman" w:hAnsi="Times New Roman"/>
          <w:b w:val="0"/>
          <w:color w:val="0f243e"/>
          <w:sz w:val="22"/>
          <w:szCs w:val="22"/>
        </w:rPr>
      </w:pPr>
      <w:r w:rsidDel="00000000" w:rsidR="00000000" w:rsidRPr="00000000">
        <w:rPr>
          <w:rFonts w:ascii="Times New Roman" w:cs="Times New Roman" w:eastAsia="Times New Roman" w:hAnsi="Times New Roman"/>
          <w:sz w:val="22"/>
          <w:szCs w:val="22"/>
          <w:rtl w:val="0"/>
        </w:rPr>
        <w:t xml:space="preserve">Communications: </w:t>
      </w:r>
      <w:r w:rsidDel="00000000" w:rsidR="00000000" w:rsidRPr="00000000">
        <w:rPr>
          <w:rFonts w:ascii="Times New Roman" w:cs="Times New Roman" w:eastAsia="Times New Roman" w:hAnsi="Times New Roman"/>
          <w:b w:val="0"/>
          <w:sz w:val="22"/>
          <w:szCs w:val="22"/>
          <w:rtl w:val="0"/>
        </w:rPr>
        <w:t xml:space="preserve">Blackboard messages or direct email serve as the best ways to communicate. </w:t>
      </w:r>
      <w:r w:rsidDel="00000000" w:rsidR="00000000" w:rsidRPr="00000000">
        <w:rPr>
          <w:rFonts w:ascii="Times New Roman" w:cs="Times New Roman" w:eastAsia="Times New Roman" w:hAnsi="Times New Roman"/>
          <w:b w:val="0"/>
          <w:color w:val="0f243e"/>
          <w:sz w:val="22"/>
          <w:szCs w:val="22"/>
          <w:rtl w:val="0"/>
        </w:rPr>
        <w:t xml:space="preserve">*Reminder: NTCC email is the official form of communication used by the college.</w:t>
      </w:r>
    </w:p>
    <w:p w:rsidR="00000000" w:rsidDel="00000000" w:rsidP="00000000" w:rsidRDefault="00000000" w:rsidRPr="00000000" w14:paraId="0000003E">
      <w:pPr>
        <w:pStyle w:val="Heading1"/>
        <w:spacing w:line="281" w:lineRule="auto"/>
        <w:ind w:firstLine="100"/>
        <w:rPr>
          <w:rFonts w:ascii="Times New Roman" w:cs="Times New Roman" w:eastAsia="Times New Roman" w:hAnsi="Times New Roman"/>
          <w:b w:val="0"/>
          <w:color w:val="0f243e"/>
          <w:sz w:val="22"/>
          <w:szCs w:val="22"/>
        </w:rPr>
      </w:pPr>
      <w:r w:rsidDel="00000000" w:rsidR="00000000" w:rsidRPr="00000000">
        <w:rPr>
          <w:rtl w:val="0"/>
        </w:rPr>
      </w:r>
    </w:p>
    <w:p w:rsidR="00000000" w:rsidDel="00000000" w:rsidP="00000000" w:rsidRDefault="00000000" w:rsidRPr="00000000" w14:paraId="0000003F">
      <w:pPr>
        <w:pStyle w:val="Heading1"/>
        <w:spacing w:line="281" w:lineRule="auto"/>
        <w:ind w:firstLine="100"/>
        <w:rPr>
          <w:rFonts w:ascii="Times New Roman" w:cs="Times New Roman" w:eastAsia="Times New Roman" w:hAnsi="Times New Roman"/>
          <w:b w:val="0"/>
          <w:color w:val="0f243e"/>
          <w:sz w:val="22"/>
          <w:szCs w:val="22"/>
        </w:rPr>
      </w:pPr>
      <w:r w:rsidDel="00000000" w:rsidR="00000000" w:rsidRPr="00000000">
        <w:rPr>
          <w:rFonts w:ascii="Times New Roman" w:cs="Times New Roman" w:eastAsia="Times New Roman" w:hAnsi="Times New Roman"/>
          <w:color w:val="0f243e"/>
          <w:sz w:val="22"/>
          <w:szCs w:val="22"/>
          <w:rtl w:val="0"/>
        </w:rPr>
        <w:t xml:space="preserve">Netiquette rules for communication:</w:t>
      </w:r>
      <w:r w:rsidDel="00000000" w:rsidR="00000000" w:rsidRPr="00000000">
        <w:rPr>
          <w:rFonts w:ascii="Times New Roman" w:cs="Times New Roman" w:eastAsia="Times New Roman" w:hAnsi="Times New Roman"/>
          <w:b w:val="0"/>
          <w:color w:val="0f243e"/>
          <w:sz w:val="22"/>
          <w:szCs w:val="22"/>
          <w:rtl w:val="0"/>
        </w:rPr>
        <w:t xml:space="preserve"> Be respectful</w:t>
      </w:r>
    </w:p>
    <w:p w:rsidR="00000000" w:rsidDel="00000000" w:rsidP="00000000" w:rsidRDefault="00000000" w:rsidRPr="00000000" w14:paraId="00000040">
      <w:pPr>
        <w:pStyle w:val="Heading1"/>
        <w:spacing w:line="281" w:lineRule="auto"/>
        <w:ind w:firstLine="100"/>
        <w:rPr>
          <w:rFonts w:ascii="Times New Roman" w:cs="Times New Roman" w:eastAsia="Times New Roman" w:hAnsi="Times New Roman"/>
          <w:color w:val="0f243e"/>
          <w:sz w:val="22"/>
          <w:szCs w:val="22"/>
        </w:rPr>
      </w:pPr>
      <w:r w:rsidDel="00000000" w:rsidR="00000000" w:rsidRPr="00000000">
        <w:rPr>
          <w:rtl w:val="0"/>
        </w:rPr>
      </w:r>
    </w:p>
    <w:p w:rsidR="00000000" w:rsidDel="00000000" w:rsidP="00000000" w:rsidRDefault="00000000" w:rsidRPr="00000000" w14:paraId="00000041">
      <w:pPr>
        <w:spacing w:line="281" w:lineRule="auto"/>
        <w:ind w:left="144" w:hanging="54"/>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Alternate Operations During Campus Closure and/or Alternate Course Delivery Requirements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http://www.ntcc.edu/</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instructions about continuing courses remotely, Blackboard for each class for course-specific communication, and NTCC email for important general information.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000000" w:rsidDel="00000000" w:rsidP="00000000" w:rsidRDefault="00000000" w:rsidRPr="00000000" w14:paraId="00000045">
      <w:pPr>
        <w:pStyle w:val="Heading1"/>
        <w:spacing w:line="281" w:lineRule="auto"/>
        <w:ind w:firstLine="100"/>
        <w:rPr>
          <w:rFonts w:ascii="Times New Roman" w:cs="Times New Roman" w:eastAsia="Times New Roman" w:hAnsi="Times New Roman"/>
          <w:color w:val="0f243e"/>
          <w:sz w:val="22"/>
          <w:szCs w:val="22"/>
        </w:rPr>
      </w:pPr>
      <w:r w:rsidDel="00000000" w:rsidR="00000000" w:rsidRPr="00000000">
        <w:rPr>
          <w:rtl w:val="0"/>
        </w:rPr>
      </w:r>
    </w:p>
    <w:p w:rsidR="00000000" w:rsidDel="00000000" w:rsidP="00000000" w:rsidRDefault="00000000" w:rsidRPr="00000000" w14:paraId="00000046">
      <w:pPr>
        <w:pStyle w:val="Heading1"/>
        <w:spacing w:line="274" w:lineRule="auto"/>
        <w:ind w:firstLine="10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2"/>
          <w:szCs w:val="22"/>
          <w:rtl w:val="0"/>
        </w:rPr>
        <w:t xml:space="preserve">NTCC Academic Honesty/Ethics Statement:</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71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000000" w:rsidDel="00000000" w:rsidP="00000000" w:rsidRDefault="00000000" w:rsidRPr="00000000" w14:paraId="00000048">
      <w:pPr>
        <w:spacing w:before="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pStyle w:val="Heading1"/>
        <w:spacing w:line="274" w:lineRule="auto"/>
        <w:ind w:firstLine="10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2"/>
          <w:szCs w:val="22"/>
          <w:rtl w:val="0"/>
        </w:rPr>
        <w:t xml:space="preserve">ADA Statement:</w:t>
      </w:r>
      <w:r w:rsidDel="00000000" w:rsidR="00000000" w:rsidRPr="00000000">
        <w:rPr>
          <w:rtl w:val="0"/>
        </w:rPr>
      </w:r>
    </w:p>
    <w:p w:rsidR="00000000" w:rsidDel="00000000" w:rsidP="00000000" w:rsidRDefault="00000000" w:rsidRPr="00000000" w14:paraId="0000004A">
      <w:pPr>
        <w:ind w:left="87" w:right="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w:t>
      </w:r>
    </w:p>
    <w:p w:rsidR="00000000" w:rsidDel="00000000" w:rsidP="00000000" w:rsidRDefault="00000000" w:rsidRPr="00000000" w14:paraId="0000004B">
      <w:pPr>
        <w:ind w:left="9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C">
      <w:pPr>
        <w:pStyle w:val="Heading1"/>
        <w:ind w:firstLine="10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2"/>
          <w:szCs w:val="22"/>
          <w:rtl w:val="0"/>
        </w:rPr>
        <w:t xml:space="preserve">Family Educational Rights and Privacy Act (FERPA)</w:t>
      </w:r>
      <w:r w:rsidDel="00000000" w:rsidR="00000000" w:rsidRPr="00000000">
        <w:rPr>
          <w:rFonts w:ascii="Times New Roman" w:cs="Times New Roman" w:eastAsia="Times New Roman" w:hAnsi="Times New Roman"/>
          <w:b w:val="0"/>
          <w:sz w:val="22"/>
          <w:szCs w:val="22"/>
          <w:rtl w:val="0"/>
        </w:rPr>
        <w:t xml:space="preser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720" w:top="864" w:left="979" w:right="97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lowerRoman"/>
      <w:lvlText w:val="%3."/>
      <w:lvlJc w:val="right"/>
      <w:pPr>
        <w:ind w:left="2260" w:hanging="180"/>
      </w:pPr>
      <w:rPr/>
    </w:lvl>
    <w:lvl w:ilvl="3">
      <w:start w:val="1"/>
      <w:numFmt w:val="decimal"/>
      <w:lvlText w:val="%4."/>
      <w:lvlJc w:val="left"/>
      <w:pPr>
        <w:ind w:left="2980" w:hanging="360"/>
      </w:pPr>
      <w:rPr/>
    </w:lvl>
    <w:lvl w:ilvl="4">
      <w:start w:val="1"/>
      <w:numFmt w:val="lowerLetter"/>
      <w:lvlText w:val="%5."/>
      <w:lvlJc w:val="left"/>
      <w:pPr>
        <w:ind w:left="3700" w:hanging="360"/>
      </w:pPr>
      <w:rPr/>
    </w:lvl>
    <w:lvl w:ilvl="5">
      <w:start w:val="1"/>
      <w:numFmt w:val="lowerRoman"/>
      <w:lvlText w:val="%6."/>
      <w:lvlJc w:val="right"/>
      <w:pPr>
        <w:ind w:left="4420" w:hanging="180"/>
      </w:pPr>
      <w:rPr/>
    </w:lvl>
    <w:lvl w:ilvl="6">
      <w:start w:val="1"/>
      <w:numFmt w:val="decimal"/>
      <w:lvlText w:val="%7."/>
      <w:lvlJc w:val="left"/>
      <w:pPr>
        <w:ind w:left="5140" w:hanging="360"/>
      </w:pPr>
      <w:rPr/>
    </w:lvl>
    <w:lvl w:ilvl="7">
      <w:start w:val="1"/>
      <w:numFmt w:val="lowerLetter"/>
      <w:lvlText w:val="%8."/>
      <w:lvlJc w:val="left"/>
      <w:pPr>
        <w:ind w:left="5860" w:hanging="360"/>
      </w:pPr>
      <w:rPr/>
    </w:lvl>
    <w:lvl w:ilvl="8">
      <w:start w:val="1"/>
      <w:numFmt w:val="lowerRoman"/>
      <w:lvlText w:val="%9."/>
      <w:lvlJc w:val="right"/>
      <w:pPr>
        <w:ind w:left="65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Cambria" w:cs="Cambria" w:eastAsia="Cambria" w:hAnsi="Cambria"/>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Cambria" w:cs="Cambria" w:eastAsia="Cambria" w:hAnsi="Cambria"/>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100"/>
      <w:outlineLvl w:val="0"/>
    </w:pPr>
    <w:rPr>
      <w:rFonts w:ascii="Cambria" w:eastAsia="Cambria" w:hAnsi="Cambria"/>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rFonts w:ascii="Times New Roman" w:eastAsia="Times New Roman" w:hAnsi="Times New Roman"/>
      <w:sz w:val="24"/>
      <w:szCs w:val="24"/>
    </w:r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330D3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30D34"/>
    <w:rPr>
      <w:rFonts w:ascii="Segoe UI" w:cs="Segoe UI" w:hAnsi="Segoe UI"/>
      <w:sz w:val="18"/>
      <w:szCs w:val="18"/>
    </w:rPr>
  </w:style>
  <w:style w:type="table" w:styleId="TableGrid">
    <w:name w:val="Table Grid"/>
    <w:basedOn w:val="TableNormal"/>
    <w:uiPriority w:val="39"/>
    <w:rsid w:val="003C294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307003"/>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ntcc.edu/" TargetMode="External"/><Relationship Id="rId9" Type="http://schemas.openxmlformats.org/officeDocument/2006/relationships/hyperlink" Target="mailto:mfulgham@ntc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iAPsqHc6m5blfSNWoPN+nNS06w==">CgMxLjAyCGguZ2pkZ3hzOAByITFyZkVzYU0tVjdRckwxR1hWWEh3aVk0WGJWXzVXdmVoUQ==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2024-01-05T16:54:00Z</dcterms:created>
  <dc:creator>Kim Wommack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